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8899C" w14:textId="69F32898" w:rsidR="0058783D" w:rsidRDefault="0058783D"/>
    <w:p w14:paraId="3069325A" w14:textId="4EBD6616" w:rsidR="00A23802" w:rsidRDefault="00A23802"/>
    <w:p w14:paraId="08C142EB" w14:textId="77777777" w:rsidR="00A23802" w:rsidRDefault="00A23802" w:rsidP="00A23802">
      <w:pPr>
        <w:spacing w:line="480" w:lineRule="auto"/>
        <w:jc w:val="center"/>
      </w:pPr>
    </w:p>
    <w:p w14:paraId="63666EE6" w14:textId="77777777" w:rsidR="00A23802" w:rsidRDefault="00A23802" w:rsidP="00A23802">
      <w:pPr>
        <w:spacing w:line="480" w:lineRule="auto"/>
        <w:jc w:val="center"/>
      </w:pPr>
    </w:p>
    <w:p w14:paraId="41A394F2" w14:textId="77777777" w:rsidR="00A23802" w:rsidRDefault="00A23802" w:rsidP="00A23802">
      <w:pPr>
        <w:spacing w:line="480" w:lineRule="auto"/>
        <w:jc w:val="center"/>
      </w:pPr>
    </w:p>
    <w:p w14:paraId="7E9E0AD1" w14:textId="77777777" w:rsidR="00A23802" w:rsidRDefault="00A23802" w:rsidP="00A23802">
      <w:pPr>
        <w:spacing w:line="480" w:lineRule="auto"/>
        <w:jc w:val="center"/>
      </w:pPr>
    </w:p>
    <w:p w14:paraId="1D95934E" w14:textId="77777777" w:rsidR="00A23802" w:rsidRDefault="00A23802" w:rsidP="00A23802">
      <w:pPr>
        <w:spacing w:line="480" w:lineRule="auto"/>
        <w:jc w:val="center"/>
      </w:pPr>
    </w:p>
    <w:p w14:paraId="67D3B22C" w14:textId="77777777" w:rsidR="00A23802" w:rsidRDefault="00A23802" w:rsidP="00A23802">
      <w:pPr>
        <w:spacing w:line="480" w:lineRule="auto"/>
        <w:jc w:val="center"/>
      </w:pPr>
    </w:p>
    <w:p w14:paraId="726F5624" w14:textId="77777777" w:rsidR="00A23802" w:rsidRDefault="00A23802" w:rsidP="00A23802">
      <w:pPr>
        <w:spacing w:line="480" w:lineRule="auto"/>
        <w:jc w:val="center"/>
      </w:pPr>
    </w:p>
    <w:p w14:paraId="5E00DD1E" w14:textId="77777777" w:rsidR="00A23802" w:rsidRDefault="00A23802" w:rsidP="00A23802">
      <w:pPr>
        <w:spacing w:line="480" w:lineRule="auto"/>
        <w:jc w:val="center"/>
      </w:pPr>
    </w:p>
    <w:p w14:paraId="590639B3" w14:textId="77777777" w:rsidR="00A23802" w:rsidRDefault="00A23802" w:rsidP="00A23802">
      <w:pPr>
        <w:spacing w:line="480" w:lineRule="auto"/>
        <w:jc w:val="center"/>
      </w:pPr>
    </w:p>
    <w:p w14:paraId="53022718" w14:textId="622FA628" w:rsidR="00A23802" w:rsidRDefault="00A23802" w:rsidP="00A23802">
      <w:pPr>
        <w:spacing w:line="480" w:lineRule="auto"/>
        <w:jc w:val="center"/>
      </w:pPr>
      <w:r>
        <w:t>Locating Credible Databases and Research</w:t>
      </w:r>
    </w:p>
    <w:p w14:paraId="5CE26916" w14:textId="0E35F9C4" w:rsidR="00A23802" w:rsidRDefault="002315F4" w:rsidP="00A23802">
      <w:pPr>
        <w:spacing w:line="480" w:lineRule="auto"/>
        <w:jc w:val="center"/>
      </w:pPr>
      <w:r>
        <w:t>Name</w:t>
      </w:r>
    </w:p>
    <w:p w14:paraId="64CD2186" w14:textId="27A84279" w:rsidR="00A23802" w:rsidRDefault="002315F4" w:rsidP="00A23802">
      <w:pPr>
        <w:spacing w:line="480" w:lineRule="auto"/>
        <w:jc w:val="center"/>
      </w:pPr>
      <w:r>
        <w:t>institution</w:t>
      </w:r>
    </w:p>
    <w:p w14:paraId="6416F52A" w14:textId="3ABB6821" w:rsidR="00A23802" w:rsidRDefault="00C83375" w:rsidP="00A23802">
      <w:pPr>
        <w:spacing w:line="480" w:lineRule="auto"/>
        <w:jc w:val="center"/>
      </w:pPr>
      <w:r>
        <w:t>May</w:t>
      </w:r>
      <w:r w:rsidR="00A23802">
        <w:t xml:space="preserve"> 2020</w:t>
      </w:r>
    </w:p>
    <w:p w14:paraId="64D48841" w14:textId="487C07C5" w:rsidR="00A23802" w:rsidRDefault="00A23802" w:rsidP="00A23802">
      <w:pPr>
        <w:spacing w:line="480" w:lineRule="auto"/>
        <w:jc w:val="center"/>
      </w:pPr>
    </w:p>
    <w:p w14:paraId="5942E875" w14:textId="76DCACD0" w:rsidR="00A23802" w:rsidRDefault="00A23802" w:rsidP="00A23802">
      <w:pPr>
        <w:spacing w:line="480" w:lineRule="auto"/>
        <w:jc w:val="center"/>
      </w:pPr>
    </w:p>
    <w:p w14:paraId="0ADE9F60" w14:textId="1994EA70" w:rsidR="00A23802" w:rsidRDefault="00A23802" w:rsidP="00A23802">
      <w:pPr>
        <w:spacing w:line="480" w:lineRule="auto"/>
        <w:jc w:val="center"/>
      </w:pPr>
    </w:p>
    <w:p w14:paraId="00F285E3" w14:textId="7306F59B" w:rsidR="00A23802" w:rsidRDefault="00A23802" w:rsidP="00A23802">
      <w:pPr>
        <w:spacing w:line="480" w:lineRule="auto"/>
        <w:jc w:val="center"/>
      </w:pPr>
    </w:p>
    <w:p w14:paraId="6D093896" w14:textId="15CCD2D9" w:rsidR="00A23802" w:rsidRDefault="00A23802" w:rsidP="00A23802">
      <w:pPr>
        <w:spacing w:line="480" w:lineRule="auto"/>
        <w:jc w:val="center"/>
      </w:pPr>
    </w:p>
    <w:p w14:paraId="6DC18826" w14:textId="34911849" w:rsidR="00A23802" w:rsidRDefault="00A23802" w:rsidP="00A23802">
      <w:pPr>
        <w:spacing w:line="480" w:lineRule="auto"/>
        <w:jc w:val="center"/>
      </w:pPr>
    </w:p>
    <w:p w14:paraId="3D5D7360" w14:textId="451FEEF5" w:rsidR="00A23802" w:rsidRDefault="00A23802" w:rsidP="00A23802">
      <w:pPr>
        <w:spacing w:line="480" w:lineRule="auto"/>
        <w:jc w:val="center"/>
      </w:pPr>
    </w:p>
    <w:p w14:paraId="751F18F9" w14:textId="450DFED8" w:rsidR="00A23802" w:rsidRDefault="00A23802" w:rsidP="00A23802">
      <w:pPr>
        <w:spacing w:line="480" w:lineRule="auto"/>
        <w:jc w:val="center"/>
      </w:pPr>
    </w:p>
    <w:p w14:paraId="44F67E02" w14:textId="7E6C1412" w:rsidR="00A23802" w:rsidRDefault="00A23802" w:rsidP="00A23802">
      <w:pPr>
        <w:spacing w:line="480" w:lineRule="auto"/>
        <w:jc w:val="center"/>
      </w:pPr>
      <w:r>
        <w:t>Locating Credible Databases and Research</w:t>
      </w:r>
    </w:p>
    <w:p w14:paraId="134AF7A5" w14:textId="2EF43D40" w:rsidR="00A23802" w:rsidRDefault="00A23802" w:rsidP="00A23802">
      <w:pPr>
        <w:spacing w:line="480" w:lineRule="auto"/>
        <w:jc w:val="center"/>
        <w:rPr>
          <w:b/>
          <w:bCs/>
        </w:rPr>
      </w:pPr>
      <w:r>
        <w:rPr>
          <w:b/>
          <w:bCs/>
        </w:rPr>
        <w:lastRenderedPageBreak/>
        <w:t>Communication and Collaboration Strategies</w:t>
      </w:r>
    </w:p>
    <w:p w14:paraId="6ADE81BC" w14:textId="10D93926" w:rsidR="00A23802" w:rsidRDefault="008248B8" w:rsidP="00B841EC">
      <w:pPr>
        <w:spacing w:line="480" w:lineRule="auto"/>
      </w:pPr>
      <w:r>
        <w:rPr>
          <w:b/>
          <w:bCs/>
        </w:rPr>
        <w:tab/>
      </w:r>
      <w:r>
        <w:t xml:space="preserve">For this example, the novice nurse is unfamiliar with caring and applying interventions for an adolescent patient that has a chronic condition of Ehler-Danlos Syndrome. </w:t>
      </w:r>
      <w:r w:rsidR="00B22D7D">
        <w:t xml:space="preserve">By being a baccalaureate-prepared nurse in this supervisory position, I would first praise the novice nurse for the self-reflection in identifying their lack of experience in the care of this patient. Research has identified that barriers </w:t>
      </w:r>
      <w:r w:rsidR="000F306B">
        <w:t>for speaking up by healthcare professionals includes fears of negative consequences, and feelings of intimidation (</w:t>
      </w:r>
      <w:r w:rsidR="000F306B" w:rsidRPr="000F306B">
        <w:rPr>
          <w:color w:val="000000" w:themeColor="text1"/>
        </w:rPr>
        <w:t>Hall, N. , Klein, V. , Betts, K. &amp; DeRanieri, J. 2018). </w:t>
      </w:r>
      <w:r w:rsidR="00966233">
        <w:rPr>
          <w:color w:val="000000" w:themeColor="text1"/>
        </w:rPr>
        <w:t xml:space="preserve">There is urgency when speaking up and establishing a level of comfort by staff as medical errors represent the third leading cause of death in the United States. For the safety of our patient’s nurse leaders and </w:t>
      </w:r>
      <w:r w:rsidR="006549B4">
        <w:rPr>
          <w:color w:val="000000" w:themeColor="text1"/>
        </w:rPr>
        <w:t>the healthcare industry as a whole have a responsibility to identify new ideas for speaking up (</w:t>
      </w:r>
      <w:r w:rsidR="006549B4" w:rsidRPr="000F306B">
        <w:rPr>
          <w:color w:val="000000" w:themeColor="text1"/>
        </w:rPr>
        <w:t>Hall, N. , Klein, V. , Betts, K. &amp; DeRanieri, J. 2018). </w:t>
      </w:r>
      <w:r w:rsidR="00C84C06">
        <w:rPr>
          <w:color w:val="000000" w:themeColor="text1"/>
        </w:rPr>
        <w:t>The institute of medicine identifies the expectation that by 2020 90 % of clinical decisions should be based off of evidence-based practice. EBP has shown to reduce costs, improve patient outcomes, and ensure optimal nursing interventions. However, EBP is conducted by minimal nursing students for review (</w:t>
      </w:r>
      <w:r w:rsidR="00C84C06" w:rsidRPr="00384C90">
        <w:rPr>
          <w:color w:val="000000" w:themeColor="text1"/>
          <w:shd w:val="clear" w:color="auto" w:fill="FFFFFF"/>
        </w:rPr>
        <w:t>Orta, R., Messmer, P. R., Valdes, G. R., Turkel, M., Fields, S. D., &amp; Wei, C. C. 2016).</w:t>
      </w:r>
      <w:r w:rsidR="00C84C06">
        <w:rPr>
          <w:color w:val="000000" w:themeColor="text1"/>
          <w:shd w:val="clear" w:color="auto" w:fill="FFFFFF"/>
        </w:rPr>
        <w:t xml:space="preserve"> Utilizing the EBP by the novice nurse will teach a new skill that will be viewed to be heavily used in the future of the healthcare profession. </w:t>
      </w:r>
      <w:r w:rsidR="00694A87">
        <w:rPr>
          <w:color w:val="000000" w:themeColor="text1"/>
          <w:shd w:val="clear" w:color="auto" w:fill="FFFFFF"/>
        </w:rPr>
        <w:t>In addition and more importantly it will provide quality care, optimize best patient outcomes, and increase the safety of our patients, especially when handling a new patient diagnosis (</w:t>
      </w:r>
      <w:r w:rsidR="00694A87" w:rsidRPr="00384C90">
        <w:rPr>
          <w:color w:val="000000" w:themeColor="text1"/>
          <w:shd w:val="clear" w:color="auto" w:fill="FFFFFF"/>
        </w:rPr>
        <w:t>Orta, R., Messmer, P. R., Valdes, G. R., Turkel, M., Fields, S. D., &amp; Wei, C. C. 2016).</w:t>
      </w:r>
    </w:p>
    <w:p w14:paraId="33827337" w14:textId="04482FF6" w:rsidR="000F306B" w:rsidRDefault="00694A87" w:rsidP="00694A87">
      <w:pPr>
        <w:spacing w:line="480" w:lineRule="auto"/>
        <w:jc w:val="center"/>
        <w:rPr>
          <w:b/>
          <w:bCs/>
        </w:rPr>
      </w:pPr>
      <w:r>
        <w:rPr>
          <w:b/>
          <w:bCs/>
        </w:rPr>
        <w:t xml:space="preserve">Obtaining Resources </w:t>
      </w:r>
    </w:p>
    <w:p w14:paraId="60649A53" w14:textId="0144F7B0" w:rsidR="00694A87" w:rsidRDefault="00AD5F7B" w:rsidP="00694A87">
      <w:pPr>
        <w:spacing w:line="480" w:lineRule="auto"/>
      </w:pPr>
      <w:r>
        <w:rPr>
          <w:b/>
          <w:bCs/>
        </w:rPr>
        <w:tab/>
      </w:r>
      <w:r>
        <w:t xml:space="preserve">The next step would be to assist the novice nurse in identifying and finding credible resources on the diagnosis that the nurse is having a new introduction to. Using the health care </w:t>
      </w:r>
      <w:r>
        <w:lastRenderedPageBreak/>
        <w:t xml:space="preserve">systems database will be able to provide </w:t>
      </w:r>
      <w:r w:rsidR="00C0435E">
        <w:t>diagnosis education</w:t>
      </w:r>
      <w:r>
        <w:t xml:space="preserve">, health care facility specific interventions, and </w:t>
      </w:r>
      <w:r w:rsidR="00C0435E">
        <w:t xml:space="preserve">information able to be provided to the patient and their family. </w:t>
      </w:r>
      <w:r w:rsidR="001918ED">
        <w:t xml:space="preserve">Accessing evidenced based scholarly articles will help this novice nurse in utilizing accurate and specific information to the nurse’s situation. Using the computers at the nurse’s workstation can be utilized to access these articles, and customer specific information </w:t>
      </w:r>
    </w:p>
    <w:p w14:paraId="4DDED84E" w14:textId="58438916" w:rsidR="001918ED" w:rsidRDefault="001918ED" w:rsidP="001918ED">
      <w:pPr>
        <w:spacing w:line="480" w:lineRule="auto"/>
        <w:jc w:val="center"/>
        <w:rPr>
          <w:b/>
          <w:bCs/>
        </w:rPr>
      </w:pPr>
      <w:r>
        <w:rPr>
          <w:b/>
          <w:bCs/>
        </w:rPr>
        <w:t>Credible Resources</w:t>
      </w:r>
    </w:p>
    <w:p w14:paraId="31EF0907" w14:textId="7E6B505C" w:rsidR="001918ED" w:rsidRDefault="00C20566" w:rsidP="001918ED">
      <w:pPr>
        <w:spacing w:line="480" w:lineRule="auto"/>
      </w:pPr>
      <w:r>
        <w:tab/>
        <w:t>Utilizing the online resource of “The Ehlers Danlos Society” website would be greatly beneficial for the patient, and their family. This website is able to provide a plethora of information including general info on EDS which can be printed, community resources, how one can get involved within the EDS society, and where the direction of continued research is moving. Ehlers Danlos support is another great website able to be utilized by the patient and their family. This website employs similar information that the first website has but it include</w:t>
      </w:r>
      <w:r w:rsidR="00BF6B99">
        <w:t>s</w:t>
      </w:r>
      <w:r>
        <w:t xml:space="preserve"> a membership program for the patient to enroll in, providing a magazine with information. </w:t>
      </w:r>
      <w:r w:rsidR="00BF6B99">
        <w:t xml:space="preserve">As well resources, and information including support can be obtained. Both resources provide similar strength, and similar resources. Each one also supplies unique opportunities for the patient and the family to utilize. </w:t>
      </w:r>
      <w:r w:rsidR="00462166">
        <w:t>The novice nurse would be able to educate themselves, patients, and family members on these very useful resources.</w:t>
      </w:r>
    </w:p>
    <w:p w14:paraId="75F6DA5F" w14:textId="0BDF73D5" w:rsidR="00462166" w:rsidRDefault="00462166" w:rsidP="001918ED">
      <w:pPr>
        <w:spacing w:line="480" w:lineRule="auto"/>
        <w:rPr>
          <w:color w:val="000000" w:themeColor="text1"/>
          <w:shd w:val="clear" w:color="auto" w:fill="FFFFFF"/>
        </w:rPr>
      </w:pPr>
      <w:r>
        <w:tab/>
      </w:r>
      <w:r w:rsidR="00C83375">
        <w:t xml:space="preserve">Using the article </w:t>
      </w:r>
      <w:r w:rsidR="00C83375" w:rsidRPr="00C83375">
        <w:rPr>
          <w:i/>
          <w:iCs/>
          <w:color w:val="000000" w:themeColor="text1"/>
          <w:shd w:val="clear" w:color="auto" w:fill="FFFFFF"/>
        </w:rPr>
        <w:t>Symptom complaints and impact on functioning in youth with hypermobile Ehlers–Danlos syndrome. </w:t>
      </w:r>
      <w:r w:rsidR="00C83375">
        <w:rPr>
          <w:color w:val="000000" w:themeColor="text1"/>
          <w:shd w:val="clear" w:color="auto" w:fill="FFFFFF"/>
        </w:rPr>
        <w:t>From the journal of child health care, provided a general overview of the syndrome while analyzing the somatic and physical symptoms that need addressed in these patients (</w:t>
      </w:r>
      <w:r w:rsidR="00C83375" w:rsidRPr="00C83375">
        <w:rPr>
          <w:color w:val="000000" w:themeColor="text1"/>
          <w:shd w:val="clear" w:color="auto" w:fill="FFFFFF"/>
        </w:rPr>
        <w:t>Tran, S. T., Jagpal, A., Koven, M. L., Turek, C. E., Golden, J. S., &amp; Tinkle, B. T. 2019).</w:t>
      </w:r>
      <w:r w:rsidR="00C83375">
        <w:rPr>
          <w:color w:val="000000" w:themeColor="text1"/>
          <w:shd w:val="clear" w:color="auto" w:fill="FFFFFF"/>
        </w:rPr>
        <w:t xml:space="preserve"> This article provides an in-depth review of the disease process, and the multitude of symptoms that can be associated with this syndrome. The novice nurse will find this </w:t>
      </w:r>
      <w:r w:rsidR="00C83375">
        <w:rPr>
          <w:color w:val="000000" w:themeColor="text1"/>
          <w:shd w:val="clear" w:color="auto" w:fill="FFFFFF"/>
        </w:rPr>
        <w:lastRenderedPageBreak/>
        <w:t>very beneficial as it will provide a thorough insight into the care of the patient. By accessing knowledge on the many aspects of the patient</w:t>
      </w:r>
      <w:r w:rsidR="00DF700E">
        <w:rPr>
          <w:color w:val="000000" w:themeColor="text1"/>
          <w:shd w:val="clear" w:color="auto" w:fill="FFFFFF"/>
        </w:rPr>
        <w:t>’</w:t>
      </w:r>
      <w:r w:rsidR="00C83375">
        <w:rPr>
          <w:color w:val="000000" w:themeColor="text1"/>
          <w:shd w:val="clear" w:color="auto" w:fill="FFFFFF"/>
        </w:rPr>
        <w:t xml:space="preserve">s life that this disease threatens, a “whole picture” plan of care can be planned for and implemented. </w:t>
      </w:r>
      <w:r w:rsidR="00B7490B">
        <w:rPr>
          <w:color w:val="000000" w:themeColor="text1"/>
          <w:shd w:val="clear" w:color="auto" w:fill="FFFFFF"/>
        </w:rPr>
        <w:t xml:space="preserve">Another resource that would be beneficial to the novice nurse is </w:t>
      </w:r>
      <w:r w:rsidR="00B7490B" w:rsidRPr="00B7490B">
        <w:rPr>
          <w:color w:val="000000" w:themeColor="text1"/>
        </w:rPr>
        <w:t>Ehlers-Danlos syndrome.</w:t>
      </w:r>
      <w:r w:rsidR="00B7490B" w:rsidRPr="00B7490B">
        <w:rPr>
          <w:rStyle w:val="apple-converted-space"/>
          <w:color w:val="000000" w:themeColor="text1"/>
        </w:rPr>
        <w:t> </w:t>
      </w:r>
      <w:r w:rsidR="00B7490B" w:rsidRPr="00B7490B">
        <w:rPr>
          <w:rStyle w:val="italicized-text"/>
          <w:i/>
          <w:iCs/>
          <w:color w:val="000000" w:themeColor="text1"/>
        </w:rPr>
        <w:t xml:space="preserve">Nursing Made Incredibly </w:t>
      </w:r>
      <w:proofErr w:type="gramStart"/>
      <w:r w:rsidR="00B7490B" w:rsidRPr="00B7490B">
        <w:rPr>
          <w:rStyle w:val="italicized-text"/>
          <w:i/>
          <w:iCs/>
          <w:color w:val="000000" w:themeColor="text1"/>
        </w:rPr>
        <w:t>Easy!,</w:t>
      </w:r>
      <w:proofErr w:type="gramEnd"/>
      <w:r w:rsidR="00B7490B" w:rsidRPr="00B7490B">
        <w:rPr>
          <w:rStyle w:val="apple-converted-space"/>
          <w:i/>
          <w:iCs/>
          <w:color w:val="000000" w:themeColor="text1"/>
        </w:rPr>
        <w:t> </w:t>
      </w:r>
      <w:r w:rsidR="00B7490B">
        <w:rPr>
          <w:rStyle w:val="apple-converted-space"/>
          <w:i/>
          <w:iCs/>
          <w:color w:val="000000" w:themeColor="text1"/>
        </w:rPr>
        <w:t xml:space="preserve"> </w:t>
      </w:r>
      <w:r w:rsidR="00B7490B">
        <w:rPr>
          <w:rStyle w:val="apple-converted-space"/>
          <w:color w:val="000000" w:themeColor="text1"/>
        </w:rPr>
        <w:t>This article would be great information to present to the parents, and to the patient themselves. The authors in this article highlight the disease, the genetics, the subtypes, signs and symptoms, and the importance of advocacy (</w:t>
      </w:r>
      <w:r w:rsidR="00B7490B" w:rsidRPr="00B7490B">
        <w:rPr>
          <w:color w:val="000000" w:themeColor="text1"/>
        </w:rPr>
        <w:t>Varner, C. A.</w:t>
      </w:r>
      <w:r w:rsidR="00B7490B" w:rsidRPr="00B7490B">
        <w:rPr>
          <w:rStyle w:val="apple-converted-space"/>
          <w:color w:val="000000" w:themeColor="text1"/>
        </w:rPr>
        <w:t> </w:t>
      </w:r>
      <w:r w:rsidR="00B7490B" w:rsidRPr="00B7490B">
        <w:rPr>
          <w:color w:val="000000" w:themeColor="text1"/>
        </w:rPr>
        <w:t>2020).</w:t>
      </w:r>
      <w:r w:rsidR="00B7490B" w:rsidRPr="00B7490B">
        <w:rPr>
          <w:rStyle w:val="apple-converted-space"/>
          <w:color w:val="000000" w:themeColor="text1"/>
        </w:rPr>
        <w:t> </w:t>
      </w:r>
      <w:r w:rsidR="00B7490B">
        <w:rPr>
          <w:rStyle w:val="apple-converted-space"/>
          <w:color w:val="000000" w:themeColor="text1"/>
        </w:rPr>
        <w:t xml:space="preserve"> Through pictures, an informative but not to heavy </w:t>
      </w:r>
      <w:r w:rsidR="00072668">
        <w:rPr>
          <w:rStyle w:val="apple-converted-space"/>
          <w:color w:val="000000" w:themeColor="text1"/>
        </w:rPr>
        <w:t xml:space="preserve">read, and multiple resources including the two already mentioned in this paper, provides a reader friendly amount of information and an abundance of resources for support. </w:t>
      </w:r>
      <w:r w:rsidR="0069339D">
        <w:rPr>
          <w:rStyle w:val="apple-converted-space"/>
          <w:color w:val="000000" w:themeColor="text1"/>
        </w:rPr>
        <w:t xml:space="preserve">A third resource for the novice nurse to be able to use in their care of this patient is </w:t>
      </w:r>
      <w:r w:rsidR="0069339D" w:rsidRPr="0069339D">
        <w:rPr>
          <w:i/>
          <w:iCs/>
          <w:color w:val="000000" w:themeColor="text1"/>
          <w:shd w:val="clear" w:color="auto" w:fill="FFFFFF"/>
        </w:rPr>
        <w:t>GROWING PAINS: THE JOURNAL OF THE HEALTH VISITORS' ASSOCIATION.</w:t>
      </w:r>
      <w:r w:rsidR="0069339D" w:rsidRPr="0069339D">
        <w:rPr>
          <w:rStyle w:val="apple-converted-space"/>
          <w:i/>
          <w:iCs/>
          <w:color w:val="000000" w:themeColor="text1"/>
        </w:rPr>
        <w:t> </w:t>
      </w:r>
      <w:r w:rsidR="0069339D">
        <w:rPr>
          <w:rStyle w:val="apple-converted-space"/>
          <w:color w:val="000000" w:themeColor="text1"/>
        </w:rPr>
        <w:t>In this resource the author led a project at Cincinnati Children’s Hospital in identifying the barriers that young people face in preparing for and progressing to adulthood (</w:t>
      </w:r>
      <w:r w:rsidR="0069339D" w:rsidRPr="0069339D">
        <w:rPr>
          <w:color w:val="000000" w:themeColor="text1"/>
          <w:shd w:val="clear" w:color="auto" w:fill="FFFFFF"/>
        </w:rPr>
        <w:t>Warwick, H. 2017).</w:t>
      </w:r>
      <w:r w:rsidR="0069339D">
        <w:rPr>
          <w:color w:val="000000" w:themeColor="text1"/>
          <w:shd w:val="clear" w:color="auto" w:fill="FFFFFF"/>
        </w:rPr>
        <w:t xml:space="preserve"> This resource would be beneficial to the novice nurse as it provides </w:t>
      </w:r>
      <w:r w:rsidR="00A43672">
        <w:rPr>
          <w:color w:val="000000" w:themeColor="text1"/>
          <w:shd w:val="clear" w:color="auto" w:fill="FFFFFF"/>
        </w:rPr>
        <w:t xml:space="preserve">insight into young adults and their perception as they prepare for the inevitable transition into adulthood. All three of these resources provide plenty of insight into a disease process that the novice nurse is unfamiliar with. Pairing these with “The Ehler Danlos Society”, and “Ehler Danlos Support” will provide a plethora of resources and information for the nurse, patient, and family. </w:t>
      </w:r>
    </w:p>
    <w:p w14:paraId="166B6329" w14:textId="7F646DBB" w:rsidR="00A43672" w:rsidRDefault="00A43672" w:rsidP="00A43672">
      <w:pPr>
        <w:spacing w:line="480" w:lineRule="auto"/>
        <w:jc w:val="center"/>
        <w:rPr>
          <w:b/>
          <w:bCs/>
          <w:color w:val="000000" w:themeColor="text1"/>
          <w:shd w:val="clear" w:color="auto" w:fill="FFFFFF"/>
        </w:rPr>
      </w:pPr>
      <w:r>
        <w:rPr>
          <w:b/>
          <w:bCs/>
          <w:color w:val="000000" w:themeColor="text1"/>
          <w:shd w:val="clear" w:color="auto" w:fill="FFFFFF"/>
        </w:rPr>
        <w:t>Conclusion</w:t>
      </w:r>
    </w:p>
    <w:p w14:paraId="4AD2AD4C" w14:textId="5FF02E70" w:rsidR="00A43672" w:rsidRPr="00A43672" w:rsidRDefault="00EE5E37" w:rsidP="00A43672">
      <w:pPr>
        <w:spacing w:line="480" w:lineRule="auto"/>
      </w:pPr>
      <w:r>
        <w:tab/>
        <w:t xml:space="preserve">In conclusion, when met with a challenge such as an unfamiliar diagnosis it is imperative that the novice nurse take appropriate measures to familiarize themselves with the diagnosis and build a strong relationship with patient and their family. As a baccalaureate prepared </w:t>
      </w:r>
      <w:proofErr w:type="gramStart"/>
      <w:r>
        <w:t>nurse</w:t>
      </w:r>
      <w:proofErr w:type="gramEnd"/>
      <w:r>
        <w:t xml:space="preserve"> I would assist the novice nurse by helping to find appropriate information. Also having the novice </w:t>
      </w:r>
      <w:r>
        <w:lastRenderedPageBreak/>
        <w:t xml:space="preserve">nurse open their mind to viewing the patient as a whole and not only focusing on the direct disease process, but the unseen concerns that this disease burdens. </w:t>
      </w:r>
    </w:p>
    <w:p w14:paraId="1FCF78C2" w14:textId="75586930" w:rsidR="000F306B" w:rsidRDefault="000F306B" w:rsidP="00B841EC">
      <w:pPr>
        <w:spacing w:line="480" w:lineRule="auto"/>
      </w:pPr>
    </w:p>
    <w:p w14:paraId="5BC857EA" w14:textId="2FE1810D" w:rsidR="000F306B" w:rsidRDefault="000F306B" w:rsidP="00B841EC">
      <w:pPr>
        <w:spacing w:line="480" w:lineRule="auto"/>
      </w:pPr>
    </w:p>
    <w:p w14:paraId="7920AFC7" w14:textId="7604603F" w:rsidR="000F306B" w:rsidRDefault="000F306B" w:rsidP="00B841EC">
      <w:pPr>
        <w:spacing w:line="480" w:lineRule="auto"/>
      </w:pPr>
    </w:p>
    <w:p w14:paraId="20ED53F0" w14:textId="4BB9EC30" w:rsidR="000F306B" w:rsidRDefault="000F306B" w:rsidP="00B841EC">
      <w:pPr>
        <w:spacing w:line="480" w:lineRule="auto"/>
      </w:pPr>
    </w:p>
    <w:p w14:paraId="36A6CAA6" w14:textId="37B91AA5" w:rsidR="000F306B" w:rsidRDefault="000F306B" w:rsidP="00B841EC">
      <w:pPr>
        <w:spacing w:line="480" w:lineRule="auto"/>
      </w:pPr>
    </w:p>
    <w:p w14:paraId="53400BB3" w14:textId="5B0DB11C" w:rsidR="000F306B" w:rsidRDefault="000F306B" w:rsidP="00B841EC">
      <w:pPr>
        <w:spacing w:line="480" w:lineRule="auto"/>
      </w:pPr>
    </w:p>
    <w:p w14:paraId="37506C45" w14:textId="23565887" w:rsidR="000F306B" w:rsidRDefault="000F306B" w:rsidP="00B841EC">
      <w:pPr>
        <w:spacing w:line="480" w:lineRule="auto"/>
      </w:pPr>
    </w:p>
    <w:p w14:paraId="428EF521" w14:textId="015ED4C6" w:rsidR="000F306B" w:rsidRDefault="000F306B" w:rsidP="00B841EC">
      <w:pPr>
        <w:spacing w:line="480" w:lineRule="auto"/>
      </w:pPr>
    </w:p>
    <w:p w14:paraId="2E1564FB" w14:textId="05CFBBBE" w:rsidR="000F306B" w:rsidRDefault="000F306B" w:rsidP="00B841EC">
      <w:pPr>
        <w:spacing w:line="480" w:lineRule="auto"/>
      </w:pPr>
    </w:p>
    <w:p w14:paraId="0D621CBD" w14:textId="07F53D0B" w:rsidR="000F306B" w:rsidRDefault="000F306B" w:rsidP="00B841EC">
      <w:pPr>
        <w:spacing w:line="480" w:lineRule="auto"/>
      </w:pPr>
    </w:p>
    <w:p w14:paraId="66337791" w14:textId="5F7EF072" w:rsidR="000F306B" w:rsidRDefault="000F306B" w:rsidP="00B841EC">
      <w:pPr>
        <w:spacing w:line="480" w:lineRule="auto"/>
      </w:pPr>
    </w:p>
    <w:p w14:paraId="23DB23D3" w14:textId="28FA2A66" w:rsidR="000F306B" w:rsidRDefault="000F306B" w:rsidP="00B841EC">
      <w:pPr>
        <w:spacing w:line="480" w:lineRule="auto"/>
      </w:pPr>
    </w:p>
    <w:p w14:paraId="20394F3E" w14:textId="51A1BC3D" w:rsidR="000F306B" w:rsidRDefault="000F306B" w:rsidP="00B841EC">
      <w:pPr>
        <w:spacing w:line="480" w:lineRule="auto"/>
      </w:pPr>
    </w:p>
    <w:p w14:paraId="44BF4B46" w14:textId="79B79178" w:rsidR="000F306B" w:rsidRDefault="000F306B" w:rsidP="00B841EC">
      <w:pPr>
        <w:spacing w:line="480" w:lineRule="auto"/>
      </w:pPr>
    </w:p>
    <w:p w14:paraId="52EDFF8A" w14:textId="77777777" w:rsidR="00EE5E37" w:rsidRDefault="00EE5E37" w:rsidP="000F306B">
      <w:pPr>
        <w:spacing w:line="480" w:lineRule="auto"/>
        <w:jc w:val="center"/>
        <w:rPr>
          <w:b/>
          <w:bCs/>
        </w:rPr>
      </w:pPr>
    </w:p>
    <w:p w14:paraId="0783F65A" w14:textId="77777777" w:rsidR="00EE5E37" w:rsidRDefault="00EE5E37" w:rsidP="000F306B">
      <w:pPr>
        <w:spacing w:line="480" w:lineRule="auto"/>
        <w:jc w:val="center"/>
        <w:rPr>
          <w:b/>
          <w:bCs/>
        </w:rPr>
      </w:pPr>
    </w:p>
    <w:p w14:paraId="33B7823E" w14:textId="77777777" w:rsidR="00EE5E37" w:rsidRDefault="00EE5E37" w:rsidP="000F306B">
      <w:pPr>
        <w:spacing w:line="480" w:lineRule="auto"/>
        <w:jc w:val="center"/>
        <w:rPr>
          <w:b/>
          <w:bCs/>
        </w:rPr>
      </w:pPr>
    </w:p>
    <w:p w14:paraId="505BDE25" w14:textId="77777777" w:rsidR="00EE5E37" w:rsidRDefault="00EE5E37" w:rsidP="000F306B">
      <w:pPr>
        <w:spacing w:line="480" w:lineRule="auto"/>
        <w:jc w:val="center"/>
        <w:rPr>
          <w:b/>
          <w:bCs/>
        </w:rPr>
      </w:pPr>
    </w:p>
    <w:p w14:paraId="3A414A04" w14:textId="77777777" w:rsidR="00EE5E37" w:rsidRDefault="00EE5E37" w:rsidP="000F306B">
      <w:pPr>
        <w:spacing w:line="480" w:lineRule="auto"/>
        <w:jc w:val="center"/>
        <w:rPr>
          <w:b/>
          <w:bCs/>
        </w:rPr>
      </w:pPr>
    </w:p>
    <w:p w14:paraId="1254AF05" w14:textId="6F661505" w:rsidR="000F306B" w:rsidRDefault="000F306B" w:rsidP="000F306B">
      <w:pPr>
        <w:spacing w:line="480" w:lineRule="auto"/>
        <w:jc w:val="center"/>
        <w:rPr>
          <w:b/>
          <w:bCs/>
        </w:rPr>
      </w:pPr>
      <w:r>
        <w:rPr>
          <w:b/>
          <w:bCs/>
        </w:rPr>
        <w:t>References</w:t>
      </w:r>
    </w:p>
    <w:p w14:paraId="56C0966A" w14:textId="3DF9F1A4" w:rsidR="000F306B" w:rsidRDefault="000F306B" w:rsidP="00384C90">
      <w:pPr>
        <w:spacing w:line="480" w:lineRule="auto"/>
        <w:rPr>
          <w:color w:val="000000" w:themeColor="text1"/>
        </w:rPr>
      </w:pPr>
      <w:r w:rsidRPr="000F306B">
        <w:rPr>
          <w:color w:val="000000" w:themeColor="text1"/>
        </w:rPr>
        <w:lastRenderedPageBreak/>
        <w:t>Hall, N. , Klein, V. , Betts, K. &amp; DeRanieri, J. (2018). Speaking up. </w:t>
      </w:r>
      <w:r w:rsidRPr="000F306B">
        <w:rPr>
          <w:i/>
          <w:iCs/>
          <w:color w:val="000000" w:themeColor="text1"/>
        </w:rPr>
        <w:t xml:space="preserve">Nursing Management </w:t>
      </w:r>
      <w:r>
        <w:rPr>
          <w:i/>
          <w:iCs/>
          <w:color w:val="000000" w:themeColor="text1"/>
        </w:rPr>
        <w:tab/>
      </w:r>
      <w:r w:rsidRPr="000F306B">
        <w:rPr>
          <w:i/>
          <w:iCs/>
          <w:color w:val="000000" w:themeColor="text1"/>
        </w:rPr>
        <w:t>(Springhouse), 49</w:t>
      </w:r>
      <w:r w:rsidRPr="000F306B">
        <w:rPr>
          <w:color w:val="000000" w:themeColor="text1"/>
        </w:rPr>
        <w:t>(6), 51–53. doi: 10.1097/01.NUMA.0000533774.22167.f2.</w:t>
      </w:r>
    </w:p>
    <w:p w14:paraId="12A5248C" w14:textId="4E41662F" w:rsidR="00384C90" w:rsidRPr="00384C90" w:rsidRDefault="00384C90" w:rsidP="00384C90">
      <w:pPr>
        <w:spacing w:line="480" w:lineRule="auto"/>
        <w:rPr>
          <w:color w:val="000000" w:themeColor="text1"/>
        </w:rPr>
      </w:pPr>
      <w:r w:rsidRPr="00384C90">
        <w:rPr>
          <w:color w:val="000000" w:themeColor="text1"/>
          <w:shd w:val="clear" w:color="auto" w:fill="FFFFFF"/>
        </w:rPr>
        <w:t xml:space="preserve">Orta, R., Messmer, P. R., Valdes, G. R., Turkel, M., Fields, S. D., &amp; Wei, C. C. (2016). </w:t>
      </w:r>
      <w:r>
        <w:rPr>
          <w:color w:val="000000" w:themeColor="text1"/>
          <w:shd w:val="clear" w:color="auto" w:fill="FFFFFF"/>
        </w:rPr>
        <w:tab/>
      </w:r>
      <w:r w:rsidRPr="00384C90">
        <w:rPr>
          <w:color w:val="000000" w:themeColor="text1"/>
          <w:shd w:val="clear" w:color="auto" w:fill="FFFFFF"/>
        </w:rPr>
        <w:t>Knowledge and competency of nursing faculty regarding evidence-based practice.</w:t>
      </w:r>
      <w:r w:rsidRPr="00384C90">
        <w:rPr>
          <w:rStyle w:val="apple-converted-space"/>
          <w:i/>
          <w:iCs/>
          <w:color w:val="000000" w:themeColor="text1"/>
        </w:rPr>
        <w:t> </w:t>
      </w:r>
      <w:r w:rsidRPr="00384C90">
        <w:rPr>
          <w:i/>
          <w:iCs/>
          <w:color w:val="000000" w:themeColor="text1"/>
        </w:rPr>
        <w:t xml:space="preserve">The </w:t>
      </w:r>
      <w:r>
        <w:rPr>
          <w:i/>
          <w:iCs/>
          <w:color w:val="000000" w:themeColor="text1"/>
        </w:rPr>
        <w:tab/>
      </w:r>
      <w:r w:rsidRPr="00384C90">
        <w:rPr>
          <w:i/>
          <w:iCs/>
          <w:color w:val="000000" w:themeColor="text1"/>
        </w:rPr>
        <w:t>Journal of Continuing Education in Nursing,</w:t>
      </w:r>
      <w:r w:rsidRPr="00384C90">
        <w:rPr>
          <w:rStyle w:val="apple-converted-space"/>
          <w:i/>
          <w:iCs/>
          <w:color w:val="000000" w:themeColor="text1"/>
        </w:rPr>
        <w:t> </w:t>
      </w:r>
      <w:r w:rsidRPr="00384C90">
        <w:rPr>
          <w:i/>
          <w:iCs/>
          <w:color w:val="000000" w:themeColor="text1"/>
        </w:rPr>
        <w:t>47</w:t>
      </w:r>
      <w:r w:rsidRPr="00384C90">
        <w:rPr>
          <w:color w:val="000000" w:themeColor="text1"/>
          <w:shd w:val="clear" w:color="auto" w:fill="FFFFFF"/>
        </w:rPr>
        <w:t xml:space="preserve">(9), 409-419. </w:t>
      </w:r>
      <w:r>
        <w:rPr>
          <w:color w:val="000000" w:themeColor="text1"/>
          <w:shd w:val="clear" w:color="auto" w:fill="FFFFFF"/>
        </w:rPr>
        <w:tab/>
      </w:r>
      <w:r w:rsidRPr="00384C90">
        <w:rPr>
          <w:color w:val="000000" w:themeColor="text1"/>
          <w:shd w:val="clear" w:color="auto" w:fill="FFFFFF"/>
        </w:rPr>
        <w:t>doi:http://dx.doi.org.library.capella.edu/10.3928/00220124-20160817-08</w:t>
      </w:r>
    </w:p>
    <w:p w14:paraId="4559392B" w14:textId="05C1B60F" w:rsidR="00C83375" w:rsidRPr="00C83375" w:rsidRDefault="00C83375" w:rsidP="00C83375">
      <w:pPr>
        <w:spacing w:line="480" w:lineRule="auto"/>
        <w:rPr>
          <w:color w:val="000000" w:themeColor="text1"/>
        </w:rPr>
      </w:pPr>
      <w:r w:rsidRPr="00C83375">
        <w:rPr>
          <w:color w:val="000000" w:themeColor="text1"/>
          <w:shd w:val="clear" w:color="auto" w:fill="FFFFFF"/>
        </w:rPr>
        <w:t xml:space="preserve">Tran, S. T., Jagpal, A., Koven, M. L., Turek, C. E., Golden, J. S., &amp; Tinkle, B. T. (2019). </w:t>
      </w:r>
      <w:r>
        <w:rPr>
          <w:color w:val="000000" w:themeColor="text1"/>
          <w:shd w:val="clear" w:color="auto" w:fill="FFFFFF"/>
        </w:rPr>
        <w:tab/>
      </w:r>
      <w:r w:rsidRPr="00C83375">
        <w:rPr>
          <w:color w:val="000000" w:themeColor="text1"/>
          <w:shd w:val="clear" w:color="auto" w:fill="FFFFFF"/>
        </w:rPr>
        <w:t>Symptom complaints and impact on functioning in youth with hypermobile Ehlers–</w:t>
      </w:r>
      <w:r>
        <w:rPr>
          <w:color w:val="000000" w:themeColor="text1"/>
          <w:shd w:val="clear" w:color="auto" w:fill="FFFFFF"/>
        </w:rPr>
        <w:tab/>
      </w:r>
      <w:r w:rsidRPr="00C83375">
        <w:rPr>
          <w:color w:val="000000" w:themeColor="text1"/>
          <w:shd w:val="clear" w:color="auto" w:fill="FFFFFF"/>
        </w:rPr>
        <w:t>Danlos syndrome. </w:t>
      </w:r>
      <w:r w:rsidRPr="00C83375">
        <w:rPr>
          <w:i/>
          <w:iCs/>
          <w:color w:val="000000" w:themeColor="text1"/>
        </w:rPr>
        <w:t>Journal of Child Health Care</w:t>
      </w:r>
      <w:r w:rsidRPr="00C83375">
        <w:rPr>
          <w:color w:val="000000" w:themeColor="text1"/>
          <w:shd w:val="clear" w:color="auto" w:fill="FFFFFF"/>
        </w:rPr>
        <w:t xml:space="preserve">. </w:t>
      </w:r>
      <w:r>
        <w:rPr>
          <w:color w:val="000000" w:themeColor="text1"/>
          <w:shd w:val="clear" w:color="auto" w:fill="FFFFFF"/>
        </w:rPr>
        <w:tab/>
      </w:r>
      <w:r w:rsidRPr="00C83375">
        <w:rPr>
          <w:color w:val="000000" w:themeColor="text1"/>
          <w:shd w:val="clear" w:color="auto" w:fill="FFFFFF"/>
        </w:rPr>
        <w:t>https://doi.org/</w:t>
      </w:r>
      <w:hyperlink r:id="rId6" w:history="1">
        <w:r w:rsidRPr="00C83375">
          <w:rPr>
            <w:color w:val="000000" w:themeColor="text1"/>
            <w:u w:val="single"/>
          </w:rPr>
          <w:t>10.1177/1367493519867174</w:t>
        </w:r>
      </w:hyperlink>
    </w:p>
    <w:p w14:paraId="6C71122B" w14:textId="48D2E558" w:rsidR="00B7490B" w:rsidRPr="00B7490B" w:rsidRDefault="00B7490B" w:rsidP="00B7490B">
      <w:pPr>
        <w:spacing w:line="480" w:lineRule="auto"/>
        <w:rPr>
          <w:color w:val="000000" w:themeColor="text1"/>
        </w:rPr>
      </w:pPr>
      <w:r w:rsidRPr="00B7490B">
        <w:rPr>
          <w:color w:val="000000" w:themeColor="text1"/>
        </w:rPr>
        <w:t>Varner, C. A.</w:t>
      </w:r>
      <w:r w:rsidRPr="00B7490B">
        <w:rPr>
          <w:rStyle w:val="apple-converted-space"/>
          <w:color w:val="000000" w:themeColor="text1"/>
        </w:rPr>
        <w:t> </w:t>
      </w:r>
      <w:r w:rsidRPr="00B7490B">
        <w:rPr>
          <w:color w:val="000000" w:themeColor="text1"/>
        </w:rPr>
        <w:t>(2020).</w:t>
      </w:r>
      <w:r w:rsidRPr="00B7490B">
        <w:rPr>
          <w:rStyle w:val="apple-converted-space"/>
          <w:color w:val="000000" w:themeColor="text1"/>
        </w:rPr>
        <w:t> </w:t>
      </w:r>
      <w:r w:rsidRPr="00B7490B">
        <w:rPr>
          <w:color w:val="000000" w:themeColor="text1"/>
        </w:rPr>
        <w:t>Ehlers-Danlos syndrome.</w:t>
      </w:r>
      <w:r w:rsidRPr="00B7490B">
        <w:rPr>
          <w:rStyle w:val="apple-converted-space"/>
          <w:color w:val="000000" w:themeColor="text1"/>
        </w:rPr>
        <w:t> </w:t>
      </w:r>
      <w:r w:rsidRPr="00B7490B">
        <w:rPr>
          <w:rStyle w:val="italicized-text"/>
          <w:i/>
          <w:iCs/>
          <w:color w:val="000000" w:themeColor="text1"/>
        </w:rPr>
        <w:t xml:space="preserve">Nursing Made Incredibly </w:t>
      </w:r>
      <w:proofErr w:type="gramStart"/>
      <w:r w:rsidRPr="00B7490B">
        <w:rPr>
          <w:rStyle w:val="italicized-text"/>
          <w:i/>
          <w:iCs/>
          <w:color w:val="000000" w:themeColor="text1"/>
        </w:rPr>
        <w:t>Easy!,</w:t>
      </w:r>
      <w:proofErr w:type="gramEnd"/>
      <w:r w:rsidRPr="00B7490B">
        <w:rPr>
          <w:rStyle w:val="apple-converted-space"/>
          <w:i/>
          <w:iCs/>
          <w:color w:val="000000" w:themeColor="text1"/>
        </w:rPr>
        <w:t> </w:t>
      </w:r>
      <w:r w:rsidRPr="00B7490B">
        <w:rPr>
          <w:rStyle w:val="italicized-text"/>
          <w:i/>
          <w:iCs/>
          <w:color w:val="000000" w:themeColor="text1"/>
        </w:rPr>
        <w:t>18</w:t>
      </w:r>
      <w:r w:rsidRPr="00B7490B">
        <w:rPr>
          <w:color w:val="000000" w:themeColor="text1"/>
        </w:rPr>
        <w:t>(1),</w:t>
      </w:r>
      <w:r w:rsidRPr="00B7490B">
        <w:rPr>
          <w:rStyle w:val="apple-converted-space"/>
          <w:color w:val="000000" w:themeColor="text1"/>
        </w:rPr>
        <w:t> </w:t>
      </w:r>
      <w:r w:rsidRPr="00B7490B">
        <w:rPr>
          <w:color w:val="000000" w:themeColor="text1"/>
        </w:rPr>
        <w:t>15–</w:t>
      </w:r>
      <w:r>
        <w:rPr>
          <w:color w:val="000000" w:themeColor="text1"/>
        </w:rPr>
        <w:tab/>
      </w:r>
      <w:r w:rsidRPr="00B7490B">
        <w:rPr>
          <w:color w:val="000000" w:themeColor="text1"/>
        </w:rPr>
        <w:t>20.</w:t>
      </w:r>
      <w:r w:rsidRPr="00B7490B">
        <w:rPr>
          <w:rStyle w:val="apple-converted-space"/>
          <w:color w:val="000000" w:themeColor="text1"/>
        </w:rPr>
        <w:t> </w:t>
      </w:r>
      <w:r w:rsidRPr="00B7490B">
        <w:rPr>
          <w:color w:val="000000" w:themeColor="text1"/>
        </w:rPr>
        <w:t>doi: 10.1097/01.NME.0000613644.67455.9f.</w:t>
      </w:r>
    </w:p>
    <w:p w14:paraId="1FEBFB44" w14:textId="7D0AE5E8" w:rsidR="0069339D" w:rsidRPr="0069339D" w:rsidRDefault="0069339D" w:rsidP="0069339D">
      <w:pPr>
        <w:spacing w:line="480" w:lineRule="auto"/>
        <w:rPr>
          <w:color w:val="000000" w:themeColor="text1"/>
        </w:rPr>
      </w:pPr>
      <w:r w:rsidRPr="0069339D">
        <w:rPr>
          <w:color w:val="000000" w:themeColor="text1"/>
          <w:shd w:val="clear" w:color="auto" w:fill="FFFFFF"/>
        </w:rPr>
        <w:t xml:space="preserve">Warwick, H. (2017). GROWING PAINS: THE JOURNAL OF THE HEALTH VISITORS' </w:t>
      </w:r>
      <w:r>
        <w:rPr>
          <w:color w:val="000000" w:themeColor="text1"/>
          <w:shd w:val="clear" w:color="auto" w:fill="FFFFFF"/>
        </w:rPr>
        <w:tab/>
      </w:r>
      <w:r w:rsidRPr="0069339D">
        <w:rPr>
          <w:color w:val="000000" w:themeColor="text1"/>
          <w:shd w:val="clear" w:color="auto" w:fill="FFFFFF"/>
        </w:rPr>
        <w:t>ASSOCIATION.</w:t>
      </w:r>
      <w:r w:rsidRPr="0069339D">
        <w:rPr>
          <w:rStyle w:val="apple-converted-space"/>
          <w:i/>
          <w:iCs/>
          <w:color w:val="000000" w:themeColor="text1"/>
        </w:rPr>
        <w:t> </w:t>
      </w:r>
      <w:r w:rsidRPr="0069339D">
        <w:rPr>
          <w:i/>
          <w:iCs/>
          <w:color w:val="000000" w:themeColor="text1"/>
        </w:rPr>
        <w:t>Community Practitioner,</w:t>
      </w:r>
      <w:r w:rsidRPr="0069339D">
        <w:rPr>
          <w:rStyle w:val="apple-converted-space"/>
          <w:i/>
          <w:iCs/>
          <w:color w:val="000000" w:themeColor="text1"/>
        </w:rPr>
        <w:t> </w:t>
      </w:r>
      <w:r w:rsidRPr="0069339D">
        <w:rPr>
          <w:i/>
          <w:iCs/>
          <w:color w:val="000000" w:themeColor="text1"/>
        </w:rPr>
        <w:t>90</w:t>
      </w:r>
      <w:r w:rsidRPr="0069339D">
        <w:rPr>
          <w:color w:val="000000" w:themeColor="text1"/>
          <w:shd w:val="clear" w:color="auto" w:fill="FFFFFF"/>
        </w:rPr>
        <w:t>(11), 48-49. Retrieved from</w:t>
      </w:r>
      <w:bookmarkStart w:id="0" w:name="_GoBack"/>
      <w:bookmarkEnd w:id="0"/>
      <w:r>
        <w:rPr>
          <w:color w:val="000000" w:themeColor="text1"/>
          <w:shd w:val="clear" w:color="auto" w:fill="FFFFFF"/>
        </w:rPr>
        <w:tab/>
      </w:r>
      <w:r w:rsidRPr="0069339D">
        <w:rPr>
          <w:color w:val="000000" w:themeColor="text1"/>
          <w:shd w:val="clear" w:color="auto" w:fill="FFFFFF"/>
        </w:rPr>
        <w:t>w%2F1960278424%3Faccountid%3D27965</w:t>
      </w:r>
    </w:p>
    <w:p w14:paraId="781AC4F6" w14:textId="77777777" w:rsidR="00384C90" w:rsidRPr="000F306B" w:rsidRDefault="00384C90" w:rsidP="000F306B">
      <w:pPr>
        <w:spacing w:line="480" w:lineRule="auto"/>
        <w:rPr>
          <w:color w:val="000000" w:themeColor="text1"/>
        </w:rPr>
      </w:pPr>
    </w:p>
    <w:p w14:paraId="668A5261" w14:textId="77777777" w:rsidR="000F306B" w:rsidRPr="000F306B" w:rsidRDefault="000F306B" w:rsidP="000F306B">
      <w:pPr>
        <w:spacing w:line="480" w:lineRule="auto"/>
      </w:pPr>
    </w:p>
    <w:sectPr w:rsidR="000F306B" w:rsidRPr="000F306B" w:rsidSect="0094142C">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B696B" w14:textId="77777777" w:rsidR="00942CA8" w:rsidRDefault="00942CA8" w:rsidP="00A23802">
      <w:r>
        <w:separator/>
      </w:r>
    </w:p>
  </w:endnote>
  <w:endnote w:type="continuationSeparator" w:id="0">
    <w:p w14:paraId="727FEA3B" w14:textId="77777777" w:rsidR="00942CA8" w:rsidRDefault="00942CA8" w:rsidP="00A2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19D41" w14:textId="77777777" w:rsidR="00942CA8" w:rsidRDefault="00942CA8" w:rsidP="00A23802">
      <w:r>
        <w:separator/>
      </w:r>
    </w:p>
  </w:footnote>
  <w:footnote w:type="continuationSeparator" w:id="0">
    <w:p w14:paraId="77477E6B" w14:textId="77777777" w:rsidR="00942CA8" w:rsidRDefault="00942CA8" w:rsidP="00A23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31621565"/>
      <w:docPartObj>
        <w:docPartGallery w:val="Page Numbers (Top of Page)"/>
        <w:docPartUnique/>
      </w:docPartObj>
    </w:sdtPr>
    <w:sdtEndPr>
      <w:rPr>
        <w:rStyle w:val="PageNumber"/>
      </w:rPr>
    </w:sdtEndPr>
    <w:sdtContent>
      <w:p w14:paraId="79ADA742" w14:textId="2F5B43F9" w:rsidR="00A23802" w:rsidRDefault="00A23802" w:rsidP="008C15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5F4EE8" w14:textId="77777777" w:rsidR="00A23802" w:rsidRDefault="00A23802" w:rsidP="00A238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08507570"/>
      <w:docPartObj>
        <w:docPartGallery w:val="Page Numbers (Top of Page)"/>
        <w:docPartUnique/>
      </w:docPartObj>
    </w:sdtPr>
    <w:sdtEndPr>
      <w:rPr>
        <w:rStyle w:val="PageNumber"/>
      </w:rPr>
    </w:sdtEndPr>
    <w:sdtContent>
      <w:p w14:paraId="32978287" w14:textId="20334538" w:rsidR="00A23802" w:rsidRDefault="00A23802" w:rsidP="008C15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B5EFCF" w14:textId="7570F0CB" w:rsidR="00A23802" w:rsidRDefault="00A23802" w:rsidP="00A23802">
    <w:pPr>
      <w:pStyle w:val="Header"/>
      <w:ind w:right="360"/>
    </w:pPr>
    <w:r>
      <w:t>Running Head: LOCATING CREDIBLE DATABASES AND RESEARCH</w:t>
    </w:r>
  </w:p>
  <w:p w14:paraId="06500F2D" w14:textId="77777777" w:rsidR="00A23802" w:rsidRDefault="00A238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802"/>
    <w:rsid w:val="00072668"/>
    <w:rsid w:val="000F306B"/>
    <w:rsid w:val="001918ED"/>
    <w:rsid w:val="002315F4"/>
    <w:rsid w:val="00384C90"/>
    <w:rsid w:val="00462166"/>
    <w:rsid w:val="00584666"/>
    <w:rsid w:val="0058783D"/>
    <w:rsid w:val="006549B4"/>
    <w:rsid w:val="0069339D"/>
    <w:rsid w:val="00694A87"/>
    <w:rsid w:val="00724B58"/>
    <w:rsid w:val="00786BD9"/>
    <w:rsid w:val="008248B8"/>
    <w:rsid w:val="008F7E3B"/>
    <w:rsid w:val="0094142C"/>
    <w:rsid w:val="00942CA8"/>
    <w:rsid w:val="00966233"/>
    <w:rsid w:val="00A23802"/>
    <w:rsid w:val="00A43672"/>
    <w:rsid w:val="00AD5F7B"/>
    <w:rsid w:val="00B22D7D"/>
    <w:rsid w:val="00B7490B"/>
    <w:rsid w:val="00B841EC"/>
    <w:rsid w:val="00BF6B99"/>
    <w:rsid w:val="00C0435E"/>
    <w:rsid w:val="00C20566"/>
    <w:rsid w:val="00C83375"/>
    <w:rsid w:val="00C84C06"/>
    <w:rsid w:val="00DF700E"/>
    <w:rsid w:val="00EE5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010089"/>
  <w15:chartTrackingRefBased/>
  <w15:docId w15:val="{A2F24421-0953-814D-B26B-DD97D589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339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802"/>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A23802"/>
  </w:style>
  <w:style w:type="paragraph" w:styleId="Footer">
    <w:name w:val="footer"/>
    <w:basedOn w:val="Normal"/>
    <w:link w:val="FooterChar"/>
    <w:uiPriority w:val="99"/>
    <w:unhideWhenUsed/>
    <w:rsid w:val="00A23802"/>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A23802"/>
  </w:style>
  <w:style w:type="character" w:styleId="PageNumber">
    <w:name w:val="page number"/>
    <w:basedOn w:val="DefaultParagraphFont"/>
    <w:uiPriority w:val="99"/>
    <w:semiHidden/>
    <w:unhideWhenUsed/>
    <w:rsid w:val="00A23802"/>
  </w:style>
  <w:style w:type="character" w:customStyle="1" w:styleId="apple-converted-space">
    <w:name w:val="apple-converted-space"/>
    <w:basedOn w:val="DefaultParagraphFont"/>
    <w:rsid w:val="000F306B"/>
  </w:style>
  <w:style w:type="character" w:customStyle="1" w:styleId="italicized-text">
    <w:name w:val="italicized-text"/>
    <w:basedOn w:val="DefaultParagraphFont"/>
    <w:rsid w:val="000F306B"/>
  </w:style>
  <w:style w:type="character" w:styleId="Hyperlink">
    <w:name w:val="Hyperlink"/>
    <w:basedOn w:val="DefaultParagraphFont"/>
    <w:uiPriority w:val="99"/>
    <w:unhideWhenUsed/>
    <w:rsid w:val="00C83375"/>
    <w:rPr>
      <w:color w:val="0000FF"/>
      <w:u w:val="single"/>
    </w:rPr>
  </w:style>
  <w:style w:type="character" w:styleId="UnresolvedMention">
    <w:name w:val="Unresolved Mention"/>
    <w:basedOn w:val="DefaultParagraphFont"/>
    <w:uiPriority w:val="99"/>
    <w:semiHidden/>
    <w:unhideWhenUsed/>
    <w:rsid w:val="00693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941884">
      <w:bodyDiv w:val="1"/>
      <w:marLeft w:val="0"/>
      <w:marRight w:val="0"/>
      <w:marTop w:val="0"/>
      <w:marBottom w:val="0"/>
      <w:divBdr>
        <w:top w:val="none" w:sz="0" w:space="0" w:color="auto"/>
        <w:left w:val="none" w:sz="0" w:space="0" w:color="auto"/>
        <w:bottom w:val="none" w:sz="0" w:space="0" w:color="auto"/>
        <w:right w:val="none" w:sz="0" w:space="0" w:color="auto"/>
      </w:divBdr>
    </w:div>
    <w:div w:id="1355376988">
      <w:bodyDiv w:val="1"/>
      <w:marLeft w:val="0"/>
      <w:marRight w:val="0"/>
      <w:marTop w:val="0"/>
      <w:marBottom w:val="0"/>
      <w:divBdr>
        <w:top w:val="none" w:sz="0" w:space="0" w:color="auto"/>
        <w:left w:val="none" w:sz="0" w:space="0" w:color="auto"/>
        <w:bottom w:val="none" w:sz="0" w:space="0" w:color="auto"/>
        <w:right w:val="none" w:sz="0" w:space="0" w:color="auto"/>
      </w:divBdr>
    </w:div>
    <w:div w:id="1722438832">
      <w:bodyDiv w:val="1"/>
      <w:marLeft w:val="0"/>
      <w:marRight w:val="0"/>
      <w:marTop w:val="0"/>
      <w:marBottom w:val="0"/>
      <w:divBdr>
        <w:top w:val="none" w:sz="0" w:space="0" w:color="auto"/>
        <w:left w:val="none" w:sz="0" w:space="0" w:color="auto"/>
        <w:bottom w:val="none" w:sz="0" w:space="0" w:color="auto"/>
        <w:right w:val="none" w:sz="0" w:space="0" w:color="auto"/>
      </w:divBdr>
    </w:div>
    <w:div w:id="1846282919">
      <w:bodyDiv w:val="1"/>
      <w:marLeft w:val="0"/>
      <w:marRight w:val="0"/>
      <w:marTop w:val="0"/>
      <w:marBottom w:val="0"/>
      <w:divBdr>
        <w:top w:val="none" w:sz="0" w:space="0" w:color="auto"/>
        <w:left w:val="none" w:sz="0" w:space="0" w:color="auto"/>
        <w:bottom w:val="none" w:sz="0" w:space="0" w:color="auto"/>
        <w:right w:val="none" w:sz="0" w:space="0" w:color="auto"/>
      </w:divBdr>
    </w:div>
    <w:div w:id="20858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library.capella.edu/10.1177/136749351986717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Steinle, Brett</dc:creator>
  <cp:keywords/>
  <dc:description/>
  <cp:lastModifiedBy>Adwoa Amoabeng</cp:lastModifiedBy>
  <cp:revision>2</cp:revision>
  <cp:lastPrinted>2020-05-31T19:26:00Z</cp:lastPrinted>
  <dcterms:created xsi:type="dcterms:W3CDTF">2020-06-24T21:24:00Z</dcterms:created>
  <dcterms:modified xsi:type="dcterms:W3CDTF">2020-06-24T21:24:00Z</dcterms:modified>
</cp:coreProperties>
</file>